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BBF0" w14:textId="77777777" w:rsidR="00DD0DAF" w:rsidRDefault="008730DD" w:rsidP="009D3EC1">
      <w:r>
        <w:rPr>
          <w:noProof/>
          <w:lang w:val="en-NZ" w:eastAsia="en-NZ"/>
        </w:rPr>
        <w:drawing>
          <wp:inline distT="0" distB="0" distL="0" distR="0" wp14:anchorId="06D55A24" wp14:editId="41EFC0BD">
            <wp:extent cx="3905794" cy="916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94" cy="9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C485" w14:textId="77777777" w:rsidR="008730DD" w:rsidRDefault="008730DD" w:rsidP="009D3EC1"/>
    <w:p w14:paraId="7553FFA4" w14:textId="3068AE04" w:rsidR="008730DD" w:rsidRPr="008730DD" w:rsidRDefault="002D4C08" w:rsidP="008730DD">
      <w:pPr>
        <w:jc w:val="center"/>
        <w:rPr>
          <w:b/>
        </w:rPr>
      </w:pPr>
      <w:r>
        <w:rPr>
          <w:b/>
        </w:rPr>
        <w:t xml:space="preserve">INTERNAL </w:t>
      </w:r>
      <w:r w:rsidR="00FB2062">
        <w:rPr>
          <w:b/>
        </w:rPr>
        <w:t>EVALUATION</w:t>
      </w:r>
      <w:r w:rsidR="008730DD" w:rsidRPr="008730DD">
        <w:rPr>
          <w:b/>
        </w:rPr>
        <w:t xml:space="preserve"> PROCEDURE</w:t>
      </w:r>
      <w:r w:rsidR="00F859CB">
        <w:rPr>
          <w:b/>
        </w:rPr>
        <w:t xml:space="preserve"> </w:t>
      </w:r>
    </w:p>
    <w:p w14:paraId="3283337C" w14:textId="77777777" w:rsidR="008333F3" w:rsidRDefault="008333F3" w:rsidP="008333F3">
      <w:pPr>
        <w:pStyle w:val="ListParagraph"/>
        <w:rPr>
          <w:b/>
        </w:rPr>
      </w:pPr>
    </w:p>
    <w:p w14:paraId="5F784AD9" w14:textId="77777777" w:rsidR="009D4812" w:rsidRDefault="009D4812" w:rsidP="009D4812">
      <w:pPr>
        <w:rPr>
          <w:b/>
        </w:rPr>
      </w:pPr>
      <w:r>
        <w:rPr>
          <w:b/>
        </w:rPr>
        <w:t>Philosophy</w:t>
      </w:r>
    </w:p>
    <w:p w14:paraId="4464320D" w14:textId="0CF2C606" w:rsidR="00AD2713" w:rsidRPr="00AD0A52" w:rsidRDefault="009D4812" w:rsidP="00AD2713">
      <w:r>
        <w:t xml:space="preserve">School </w:t>
      </w:r>
      <w:r w:rsidR="00686273">
        <w:t xml:space="preserve">internal evaluation </w:t>
      </w:r>
      <w:r>
        <w:t>involves reflective inquiry leading to action</w:t>
      </w:r>
      <w:r w:rsidR="00682B84">
        <w:t>,</w:t>
      </w:r>
      <w:r>
        <w:t xml:space="preserve"> planning for improvement that is informed by evidence gathered within our unique context. The process enables our </w:t>
      </w:r>
      <w:r w:rsidR="005504A8">
        <w:t xml:space="preserve">teachers </w:t>
      </w:r>
      <w:r>
        <w:t>to use this evidence to identify meaningful and specific targets and actions for improvement</w:t>
      </w:r>
      <w:r w:rsidR="005504A8">
        <w:t xml:space="preserve">, </w:t>
      </w:r>
      <w:r>
        <w:t xml:space="preserve">that </w:t>
      </w:r>
      <w:r w:rsidR="003460F2">
        <w:t>inform</w:t>
      </w:r>
      <w:r>
        <w:t xml:space="preserve"> teaching and learning practices. It enables </w:t>
      </w:r>
      <w:r w:rsidR="005504A8">
        <w:t>them</w:t>
      </w:r>
      <w:r>
        <w:t xml:space="preserve"> to create and implement improvement plans, to measure their progress and to identify their achievements.</w:t>
      </w:r>
      <w:r w:rsidR="00AD2713" w:rsidRPr="00AD2713">
        <w:t xml:space="preserve"> </w:t>
      </w:r>
      <w:r w:rsidR="00AD2713">
        <w:t xml:space="preserve">Internal evaluation will also look to the further development of </w:t>
      </w:r>
      <w:r w:rsidR="00AD2713" w:rsidRPr="006C2D2C">
        <w:t xml:space="preserve">initiatives to improve Māori </w:t>
      </w:r>
      <w:r w:rsidR="006F0C49">
        <w:t xml:space="preserve">and </w:t>
      </w:r>
      <w:r w:rsidR="00AC4269">
        <w:t xml:space="preserve">Pacifica </w:t>
      </w:r>
      <w:r w:rsidR="00AD2713" w:rsidRPr="006C2D2C">
        <w:t>students’ engagement and achievement, and use this information</w:t>
      </w:r>
      <w:r w:rsidR="00D15B56">
        <w:t xml:space="preserve"> to achieve optimum </w:t>
      </w:r>
      <w:r w:rsidR="00747A8A">
        <w:t>progress and achievement for all pupils.</w:t>
      </w:r>
      <w:r w:rsidR="00AD2713">
        <w:t>.</w:t>
      </w:r>
    </w:p>
    <w:p w14:paraId="4521981C" w14:textId="75C1E641" w:rsidR="009D4812" w:rsidRDefault="009D4812" w:rsidP="009D4812"/>
    <w:p w14:paraId="001AF1B9" w14:textId="657D2E50" w:rsidR="00FA2C44" w:rsidRDefault="00C14FC8" w:rsidP="009D4812">
      <w:pPr>
        <w:rPr>
          <w:b/>
        </w:rPr>
      </w:pPr>
      <w:r>
        <w:rPr>
          <w:b/>
        </w:rPr>
        <w:t>Goal</w:t>
      </w:r>
    </w:p>
    <w:p w14:paraId="243A5B1C" w14:textId="0AE4CE85" w:rsidR="009D4812" w:rsidRPr="009D4812" w:rsidRDefault="009D4812" w:rsidP="009D4812">
      <w:r w:rsidRPr="009D4812">
        <w:t xml:space="preserve">To </w:t>
      </w:r>
      <w:r w:rsidR="007720F4">
        <w:t xml:space="preserve">conduct </w:t>
      </w:r>
      <w:r w:rsidRPr="009D4812">
        <w:t xml:space="preserve">robust </w:t>
      </w:r>
      <w:proofErr w:type="spellStart"/>
      <w:r w:rsidRPr="009D4812">
        <w:t>self evaluation</w:t>
      </w:r>
      <w:proofErr w:type="spellEnd"/>
      <w:r w:rsidRPr="009D4812">
        <w:t xml:space="preserve"> </w:t>
      </w:r>
      <w:r w:rsidR="007C1EC9">
        <w:t>twice yearly following ERO guidelines</w:t>
      </w:r>
      <w:r w:rsidR="00434D6A">
        <w:t xml:space="preserve"> </w:t>
      </w:r>
      <w:r w:rsidR="00524501">
        <w:t>to maintain a reflective process of review across all</w:t>
      </w:r>
      <w:r w:rsidR="00D76119">
        <w:t xml:space="preserve"> </w:t>
      </w:r>
      <w:r w:rsidR="00BC5538">
        <w:t>teaching practice,</w:t>
      </w:r>
      <w:r w:rsidR="00D76119">
        <w:t xml:space="preserve"> </w:t>
      </w:r>
      <w:r w:rsidR="00BC5538">
        <w:t xml:space="preserve">pupil progress and </w:t>
      </w:r>
      <w:r w:rsidR="00D76119">
        <w:t xml:space="preserve">appropriate policies and procedures which are </w:t>
      </w:r>
      <w:r w:rsidR="007107F0">
        <w:t>effectively followed in the daily running of the school</w:t>
      </w:r>
      <w:r w:rsidR="00763A26">
        <w:t xml:space="preserve"> and </w:t>
      </w:r>
      <w:r w:rsidRPr="009D4812">
        <w:t xml:space="preserve">mindful of the Special </w:t>
      </w:r>
      <w:r w:rsidRPr="00DC10AD">
        <w:t>Character.</w:t>
      </w:r>
      <w:r w:rsidR="00C016F2" w:rsidRPr="00DC10AD">
        <w:t xml:space="preserve"> The </w:t>
      </w:r>
      <w:r w:rsidR="00D01E71" w:rsidRPr="00DC10AD">
        <w:t xml:space="preserve">school </w:t>
      </w:r>
      <w:r w:rsidR="00DC10AD" w:rsidRPr="00DC10AD">
        <w:t xml:space="preserve">will therefore </w:t>
      </w:r>
      <w:r w:rsidR="00B5693E" w:rsidRPr="00DC10AD">
        <w:t>create and follow a three yearly cycle of</w:t>
      </w:r>
      <w:r w:rsidR="00D920BF" w:rsidRPr="00DC10AD">
        <w:t xml:space="preserve"> </w:t>
      </w:r>
      <w:r w:rsidR="00B5693E" w:rsidRPr="00DC10AD">
        <w:t>internal evaluation</w:t>
      </w:r>
      <w:r w:rsidR="00083F09">
        <w:t xml:space="preserve"> achieving objective reflection and review</w:t>
      </w:r>
      <w:r w:rsidR="00D920BF">
        <w:t xml:space="preserve"> of all aspects of school life as identified </w:t>
      </w:r>
      <w:r w:rsidR="00524DF9">
        <w:t xml:space="preserve">in policies and procedures </w:t>
      </w:r>
      <w:r w:rsidR="00224FBD">
        <w:t xml:space="preserve">as needing to be </w:t>
      </w:r>
      <w:r w:rsidR="00524DF9">
        <w:t xml:space="preserve">reviewed </w:t>
      </w:r>
      <w:r w:rsidR="00A75994">
        <w:t xml:space="preserve">by </w:t>
      </w:r>
      <w:r w:rsidR="00524DF9">
        <w:t xml:space="preserve">following </w:t>
      </w:r>
      <w:r w:rsidR="00A75994">
        <w:t>this procedure.</w:t>
      </w:r>
    </w:p>
    <w:p w14:paraId="0395BFA4" w14:textId="77777777" w:rsidR="009D4812" w:rsidRDefault="009D4812" w:rsidP="009D4812"/>
    <w:p w14:paraId="68BF7DC6" w14:textId="77777777" w:rsidR="009D4812" w:rsidRDefault="009D4812" w:rsidP="009D3EC1">
      <w:pPr>
        <w:rPr>
          <w:b/>
        </w:rPr>
      </w:pPr>
      <w:r>
        <w:rPr>
          <w:b/>
        </w:rPr>
        <w:t>Procedure</w:t>
      </w:r>
    </w:p>
    <w:p w14:paraId="0A401A17" w14:textId="057D51E8" w:rsidR="00F25E3B" w:rsidRDefault="00A75994" w:rsidP="009D3EC1">
      <w:r>
        <w:t xml:space="preserve">We use </w:t>
      </w:r>
      <w:r w:rsidR="008730DD">
        <w:t xml:space="preserve">an evidence </w:t>
      </w:r>
      <w:r w:rsidR="00F25E3B">
        <w:t>based approach which involves gather</w:t>
      </w:r>
      <w:r w:rsidR="008730DD">
        <w:t>ing evidence from a range of sou</w:t>
      </w:r>
      <w:r w:rsidR="00F25E3B">
        <w:t>rces and making judgements with a view to bringing about improvem</w:t>
      </w:r>
      <w:r w:rsidR="008730DD">
        <w:t>ents in pupils</w:t>
      </w:r>
      <w:r w:rsidR="009D4812">
        <w:t>’</w:t>
      </w:r>
      <w:r w:rsidR="008730DD">
        <w:t xml:space="preserve"> learning</w:t>
      </w:r>
      <w:r w:rsidR="009D4812">
        <w:t>. S</w:t>
      </w:r>
      <w:r w:rsidR="008730DD">
        <w:t>elf-</w:t>
      </w:r>
      <w:r w:rsidR="00F25E3B">
        <w:t>evaluation requires our school to address the following key questions with regard to a</w:t>
      </w:r>
      <w:r w:rsidR="009D4812">
        <w:t xml:space="preserve">ll </w:t>
      </w:r>
      <w:r w:rsidR="00F25E3B">
        <w:t>aspects of our work:-</w:t>
      </w:r>
    </w:p>
    <w:p w14:paraId="5835ABD6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How well are we doing?</w:t>
      </w:r>
    </w:p>
    <w:p w14:paraId="1E0E1586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How do we know</w:t>
      </w:r>
    </w:p>
    <w:p w14:paraId="1D5C74EC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How can we find out more?</w:t>
      </w:r>
    </w:p>
    <w:p w14:paraId="7EFE40E5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What are our strengths?</w:t>
      </w:r>
    </w:p>
    <w:p w14:paraId="7B0C961C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What are our areas for improvement?</w:t>
      </w:r>
    </w:p>
    <w:p w14:paraId="2CE7B95E" w14:textId="77777777" w:rsidR="00F25E3B" w:rsidRDefault="00F25E3B" w:rsidP="00F25E3B">
      <w:pPr>
        <w:pStyle w:val="ListParagraph"/>
        <w:numPr>
          <w:ilvl w:val="0"/>
          <w:numId w:val="1"/>
        </w:numPr>
      </w:pPr>
      <w:r>
        <w:t>How can we improve?</w:t>
      </w:r>
    </w:p>
    <w:p w14:paraId="50BF151A" w14:textId="77777777" w:rsidR="00F25E3B" w:rsidRDefault="00F25E3B" w:rsidP="00F25E3B"/>
    <w:p w14:paraId="4D996B00" w14:textId="77777777" w:rsidR="00F25E3B" w:rsidRPr="00B67738" w:rsidRDefault="00D90D6C" w:rsidP="00F25E3B">
      <w:r>
        <w:t>Our work will</w:t>
      </w:r>
      <w:r w:rsidR="00B67738" w:rsidRPr="00B67738">
        <w:t xml:space="preserve"> refer to The Education Review Office’s document “Effective Internal E</w:t>
      </w:r>
      <w:r w:rsidR="00F25E3B" w:rsidRPr="00B67738">
        <w:t xml:space="preserve">valuation </w:t>
      </w:r>
      <w:r w:rsidR="00B67738" w:rsidRPr="00B67738">
        <w:t>for Improvement”</w:t>
      </w:r>
      <w:r>
        <w:t>. See Appendix B  for table of process.</w:t>
      </w:r>
    </w:p>
    <w:p w14:paraId="11AAAFB3" w14:textId="77777777" w:rsidR="00F25E3B" w:rsidRDefault="00F25E3B" w:rsidP="00F25E3B"/>
    <w:p w14:paraId="5C23318E" w14:textId="77777777" w:rsidR="008333F3" w:rsidRDefault="008333F3" w:rsidP="00F25E3B"/>
    <w:p w14:paraId="4D30F205" w14:textId="77777777" w:rsidR="00B67738" w:rsidRDefault="00360F2D" w:rsidP="00B67738">
      <w:pPr>
        <w:pStyle w:val="ListParagraph"/>
        <w:numPr>
          <w:ilvl w:val="0"/>
          <w:numId w:val="6"/>
        </w:numPr>
        <w:rPr>
          <w:b/>
        </w:rPr>
      </w:pPr>
      <w:r w:rsidRPr="00B67738">
        <w:rPr>
          <w:b/>
        </w:rPr>
        <w:t xml:space="preserve">Quality Framework </w:t>
      </w:r>
      <w:r w:rsidR="008333F3">
        <w:rPr>
          <w:b/>
        </w:rPr>
        <w:t>that we work with</w:t>
      </w:r>
    </w:p>
    <w:p w14:paraId="69C1970F" w14:textId="77777777" w:rsidR="008333F3" w:rsidRDefault="008333F3" w:rsidP="00B67738"/>
    <w:p w14:paraId="42CD1435" w14:textId="77777777" w:rsidR="00360F2D" w:rsidRPr="00B67738" w:rsidRDefault="00B67738" w:rsidP="00B67738">
      <w:r w:rsidRPr="00B67738">
        <w:t>S</w:t>
      </w:r>
      <w:r w:rsidR="00360F2D" w:rsidRPr="00B67738">
        <w:t>ee a</w:t>
      </w:r>
      <w:r w:rsidRPr="00B67738">
        <w:t>ppendix A for our quality indicators</w:t>
      </w:r>
    </w:p>
    <w:p w14:paraId="508D1576" w14:textId="77777777" w:rsidR="00360F2D" w:rsidRDefault="00360F2D" w:rsidP="00F25E3B"/>
    <w:p w14:paraId="4F7D3266" w14:textId="77777777" w:rsidR="00B67738" w:rsidRDefault="00B67738" w:rsidP="00F25E3B">
      <w:pPr>
        <w:rPr>
          <w:b/>
        </w:rPr>
      </w:pPr>
    </w:p>
    <w:p w14:paraId="1103476D" w14:textId="77777777" w:rsidR="00F25E3B" w:rsidRPr="00B67738" w:rsidRDefault="00B67738" w:rsidP="003F3E4D">
      <w:pPr>
        <w:pStyle w:val="ListParagraph"/>
        <w:numPr>
          <w:ilvl w:val="0"/>
          <w:numId w:val="6"/>
        </w:numPr>
      </w:pPr>
      <w:r w:rsidRPr="00B67738">
        <w:rPr>
          <w:b/>
        </w:rPr>
        <w:t>E</w:t>
      </w:r>
      <w:r w:rsidR="00F25E3B" w:rsidRPr="00B67738">
        <w:rPr>
          <w:b/>
        </w:rPr>
        <w:t xml:space="preserve">valuation approaches and methods </w:t>
      </w:r>
    </w:p>
    <w:p w14:paraId="45D7E84E" w14:textId="77777777" w:rsidR="00B67738" w:rsidRDefault="00B67738" w:rsidP="00B67738">
      <w:pPr>
        <w:pStyle w:val="ListParagraph"/>
      </w:pPr>
    </w:p>
    <w:p w14:paraId="06F7CBA9" w14:textId="1D2DCF06" w:rsidR="00F25E3B" w:rsidRDefault="00A87F7D" w:rsidP="00F25E3B">
      <w:r>
        <w:t xml:space="preserve">Internal evaluation </w:t>
      </w:r>
      <w:r w:rsidR="00F25E3B">
        <w:t>will use these sorts of evaluation processes</w:t>
      </w:r>
      <w:r w:rsidR="005504A8">
        <w:t>:</w:t>
      </w:r>
    </w:p>
    <w:p w14:paraId="6B4CC545" w14:textId="77777777" w:rsidR="00F25E3B" w:rsidRDefault="00F25E3B" w:rsidP="00F25E3B"/>
    <w:p w14:paraId="7B38CEB7" w14:textId="0509B2F3" w:rsidR="00F25E3B" w:rsidRPr="008730DD" w:rsidRDefault="00F25E3B" w:rsidP="00F25E3B">
      <w:pPr>
        <w:pStyle w:val="ListParagraph"/>
        <w:numPr>
          <w:ilvl w:val="0"/>
          <w:numId w:val="2"/>
        </w:numPr>
        <w:rPr>
          <w:b/>
        </w:rPr>
      </w:pPr>
      <w:r w:rsidRPr="008730DD">
        <w:rPr>
          <w:b/>
        </w:rPr>
        <w:lastRenderedPageBreak/>
        <w:t>Individual and collective professional review of teac</w:t>
      </w:r>
      <w:r w:rsidR="008730DD">
        <w:rPr>
          <w:b/>
        </w:rPr>
        <w:t>h</w:t>
      </w:r>
      <w:r w:rsidRPr="008730DD">
        <w:rPr>
          <w:b/>
        </w:rPr>
        <w:t>ing and learning</w:t>
      </w:r>
      <w:r w:rsidR="005504A8">
        <w:rPr>
          <w:b/>
        </w:rPr>
        <w:t>:</w:t>
      </w:r>
    </w:p>
    <w:p w14:paraId="4D5F3CFD" w14:textId="2F537FF0" w:rsidR="00F25E3B" w:rsidRDefault="005504A8" w:rsidP="00F25E3B">
      <w:pPr>
        <w:pStyle w:val="ListParagraph"/>
        <w:numPr>
          <w:ilvl w:val="0"/>
          <w:numId w:val="3"/>
        </w:numPr>
      </w:pPr>
      <w:r>
        <w:t>t</w:t>
      </w:r>
      <w:r w:rsidR="00F25E3B">
        <w:t>eacher discussion and reflection</w:t>
      </w:r>
    </w:p>
    <w:p w14:paraId="698FB14A" w14:textId="5D6FAD68" w:rsidR="00251494" w:rsidRDefault="005504A8" w:rsidP="00251494">
      <w:pPr>
        <w:pStyle w:val="ListParagraph"/>
        <w:numPr>
          <w:ilvl w:val="0"/>
          <w:numId w:val="3"/>
        </w:numPr>
      </w:pPr>
      <w:r>
        <w:t>t</w:t>
      </w:r>
      <w:r w:rsidR="00F25E3B">
        <w:t>eacher reflection</w:t>
      </w:r>
      <w:r w:rsidR="00AD5C21">
        <w:t xml:space="preserve"> on own practice</w:t>
      </w:r>
    </w:p>
    <w:p w14:paraId="323D9673" w14:textId="77777777" w:rsidR="00251494" w:rsidRDefault="00251494" w:rsidP="00251494">
      <w:pPr>
        <w:pStyle w:val="ListParagraph"/>
        <w:numPr>
          <w:ilvl w:val="0"/>
          <w:numId w:val="3"/>
        </w:numPr>
      </w:pPr>
      <w:r>
        <w:t>professional collaborative review of teaching and learning</w:t>
      </w:r>
    </w:p>
    <w:p w14:paraId="62D88335" w14:textId="42FD6C37" w:rsidR="00251494" w:rsidRDefault="00251494" w:rsidP="00251494">
      <w:pPr>
        <w:pStyle w:val="ListParagraph"/>
        <w:numPr>
          <w:ilvl w:val="0"/>
          <w:numId w:val="3"/>
        </w:numPr>
      </w:pPr>
      <w:r>
        <w:t>principal appraisal</w:t>
      </w:r>
      <w:r w:rsidRPr="00251494">
        <w:t xml:space="preserve"> </w:t>
      </w:r>
    </w:p>
    <w:p w14:paraId="58B7CD9A" w14:textId="3D5AA7D3" w:rsidR="00251494" w:rsidRDefault="00251494" w:rsidP="00251494">
      <w:pPr>
        <w:pStyle w:val="ListParagraph"/>
        <w:numPr>
          <w:ilvl w:val="0"/>
          <w:numId w:val="3"/>
        </w:numPr>
      </w:pPr>
      <w:r>
        <w:t>peer observation and follow up</w:t>
      </w:r>
    </w:p>
    <w:p w14:paraId="58878B75" w14:textId="0EEDD66E" w:rsidR="00F25E3B" w:rsidRDefault="005504A8" w:rsidP="00F25E3B">
      <w:pPr>
        <w:pStyle w:val="ListParagraph"/>
        <w:numPr>
          <w:ilvl w:val="0"/>
          <w:numId w:val="3"/>
        </w:numPr>
      </w:pPr>
      <w:r>
        <w:t>t</w:t>
      </w:r>
      <w:r w:rsidR="00F25E3B">
        <w:t>eam teaching and review</w:t>
      </w:r>
    </w:p>
    <w:p w14:paraId="62FDDB7F" w14:textId="45F93601" w:rsidR="00F25E3B" w:rsidRDefault="005504A8" w:rsidP="00F25E3B">
      <w:pPr>
        <w:pStyle w:val="ListParagraph"/>
        <w:numPr>
          <w:ilvl w:val="0"/>
          <w:numId w:val="3"/>
        </w:numPr>
      </w:pPr>
      <w:r>
        <w:t>p</w:t>
      </w:r>
      <w:r w:rsidR="00F25E3B">
        <w:t>rofessional collaborative review of teaching and learning</w:t>
      </w:r>
    </w:p>
    <w:p w14:paraId="281E5975" w14:textId="76BBC738" w:rsidR="005504A8" w:rsidRDefault="005504A8" w:rsidP="00F25E3B">
      <w:pPr>
        <w:pStyle w:val="ListParagraph"/>
        <w:numPr>
          <w:ilvl w:val="0"/>
          <w:numId w:val="3"/>
        </w:numPr>
      </w:pPr>
      <w:proofErr w:type="spellStart"/>
      <w:r>
        <w:t>m</w:t>
      </w:r>
      <w:r w:rsidR="00B67738">
        <w:t>id year</w:t>
      </w:r>
      <w:proofErr w:type="spellEnd"/>
      <w:r w:rsidR="00B67738">
        <w:t xml:space="preserve"> and end of year </w:t>
      </w:r>
      <w:r w:rsidR="008333F3">
        <w:t>assessments</w:t>
      </w:r>
      <w:r w:rsidR="00847E59">
        <w:t xml:space="preserve"> – the assessment schedule</w:t>
      </w:r>
      <w:r w:rsidR="00015CC5">
        <w:t>/ school reports</w:t>
      </w:r>
    </w:p>
    <w:p w14:paraId="3FDA88BA" w14:textId="712DC189" w:rsidR="00B67738" w:rsidRDefault="008333F3" w:rsidP="00F25E3B">
      <w:pPr>
        <w:pStyle w:val="ListParagraph"/>
        <w:numPr>
          <w:ilvl w:val="0"/>
          <w:numId w:val="3"/>
        </w:numPr>
      </w:pPr>
      <w:r>
        <w:t>teacher planning</w:t>
      </w:r>
    </w:p>
    <w:p w14:paraId="3DBC2F7F" w14:textId="110DB613" w:rsidR="00F25E3B" w:rsidRDefault="005504A8" w:rsidP="00F25E3B">
      <w:pPr>
        <w:pStyle w:val="ListParagraph"/>
        <w:numPr>
          <w:ilvl w:val="0"/>
          <w:numId w:val="3"/>
        </w:numPr>
      </w:pPr>
      <w:r>
        <w:t>i</w:t>
      </w:r>
      <w:r w:rsidR="00F25E3B">
        <w:t>ndividual and collective review of pupils’ work</w:t>
      </w:r>
    </w:p>
    <w:p w14:paraId="7776F280" w14:textId="77777777" w:rsidR="00B67738" w:rsidRDefault="00B67738" w:rsidP="00F25E3B">
      <w:pPr>
        <w:pStyle w:val="ListParagraph"/>
        <w:numPr>
          <w:ilvl w:val="0"/>
          <w:numId w:val="3"/>
        </w:numPr>
      </w:pPr>
      <w:r>
        <w:t>Child Study</w:t>
      </w:r>
    </w:p>
    <w:p w14:paraId="294210C3" w14:textId="77777777" w:rsidR="00F25E3B" w:rsidRDefault="00F25E3B" w:rsidP="00F25E3B"/>
    <w:p w14:paraId="501DDDA9" w14:textId="57CBCFF7" w:rsidR="00F25E3B" w:rsidRDefault="00F25E3B" w:rsidP="008E31FB">
      <w:pPr>
        <w:pStyle w:val="ListParagraph"/>
        <w:numPr>
          <w:ilvl w:val="0"/>
          <w:numId w:val="2"/>
        </w:numPr>
      </w:pPr>
      <w:r w:rsidRPr="003A21BD">
        <w:rPr>
          <w:b/>
        </w:rPr>
        <w:t>School community perspective</w:t>
      </w:r>
      <w:r w:rsidR="00B67738" w:rsidRPr="003A21BD">
        <w:rPr>
          <w:b/>
        </w:rPr>
        <w:t>s</w:t>
      </w:r>
      <w:r w:rsidRPr="003A21BD">
        <w:rPr>
          <w:b/>
        </w:rPr>
        <w:t xml:space="preserve"> on teaching and learning</w:t>
      </w:r>
      <w:r w:rsidR="00982A30" w:rsidRPr="003A21BD">
        <w:rPr>
          <w:b/>
        </w:rPr>
        <w:t>:</w:t>
      </w:r>
    </w:p>
    <w:p w14:paraId="24CD8B84" w14:textId="109A4888" w:rsidR="00F25E3B" w:rsidRDefault="00F25E3B" w:rsidP="00F25E3B">
      <w:pPr>
        <w:pStyle w:val="ListParagraph"/>
        <w:numPr>
          <w:ilvl w:val="0"/>
          <w:numId w:val="4"/>
        </w:numPr>
      </w:pPr>
      <w:r>
        <w:t>views of pupils (in keeping with our Steiner philosophy on child development)</w:t>
      </w:r>
    </w:p>
    <w:p w14:paraId="7C6E08BD" w14:textId="09DD54DD" w:rsidR="00F25E3B" w:rsidRDefault="00F25E3B" w:rsidP="00F25E3B">
      <w:pPr>
        <w:pStyle w:val="ListParagraph"/>
        <w:numPr>
          <w:ilvl w:val="0"/>
          <w:numId w:val="4"/>
        </w:numPr>
      </w:pPr>
      <w:r>
        <w:t>views of teachers</w:t>
      </w:r>
    </w:p>
    <w:p w14:paraId="245226EF" w14:textId="0B0D5265" w:rsidR="00F25E3B" w:rsidRDefault="00F25E3B" w:rsidP="00F25E3B">
      <w:pPr>
        <w:pStyle w:val="ListParagraph"/>
        <w:numPr>
          <w:ilvl w:val="0"/>
          <w:numId w:val="4"/>
        </w:numPr>
      </w:pPr>
      <w:r>
        <w:t>views of parents</w:t>
      </w:r>
    </w:p>
    <w:p w14:paraId="7EAC646E" w14:textId="77777777" w:rsidR="00F25E3B" w:rsidRDefault="00F25E3B" w:rsidP="00F25E3B"/>
    <w:p w14:paraId="2AE71DDF" w14:textId="42A8E809" w:rsidR="008333F3" w:rsidRPr="003A21BD" w:rsidRDefault="00F25E3B" w:rsidP="00971A40">
      <w:pPr>
        <w:pStyle w:val="ListParagraph"/>
        <w:numPr>
          <w:ilvl w:val="0"/>
          <w:numId w:val="2"/>
        </w:numPr>
        <w:rPr>
          <w:b/>
        </w:rPr>
      </w:pPr>
      <w:r w:rsidRPr="003A21BD">
        <w:rPr>
          <w:b/>
        </w:rPr>
        <w:t>Data review of pupil outcomes arising from teaching and learning</w:t>
      </w:r>
      <w:r w:rsidR="00982A30" w:rsidRPr="003A21BD">
        <w:rPr>
          <w:b/>
        </w:rPr>
        <w:t>:</w:t>
      </w:r>
    </w:p>
    <w:p w14:paraId="7F71D02C" w14:textId="3A62AC85" w:rsidR="00B67738" w:rsidRDefault="00982A30" w:rsidP="00F25E3B">
      <w:pPr>
        <w:pStyle w:val="ListParagraph"/>
        <w:numPr>
          <w:ilvl w:val="0"/>
          <w:numId w:val="5"/>
        </w:numPr>
      </w:pPr>
      <w:r>
        <w:t>a</w:t>
      </w:r>
      <w:r w:rsidR="00B67738">
        <w:t xml:space="preserve">nalysis of quantitative and qualitative data on achievement and progress of pupils, including standardised test results as appropriate) in literacy, numeracy and other curriculum areas </w:t>
      </w:r>
    </w:p>
    <w:p w14:paraId="4C4C11DC" w14:textId="58DE3BAB" w:rsidR="00B67738" w:rsidRDefault="00982A30" w:rsidP="00F25E3B">
      <w:pPr>
        <w:pStyle w:val="ListParagraph"/>
        <w:numPr>
          <w:ilvl w:val="0"/>
          <w:numId w:val="5"/>
        </w:numPr>
      </w:pPr>
      <w:r>
        <w:t>c</w:t>
      </w:r>
      <w:r w:rsidR="00B67738">
        <w:t>omparison of the outcomes of standardised tests with national norms (where available)</w:t>
      </w:r>
      <w:r w:rsidR="00251494">
        <w:t xml:space="preserve"> and SEANZ annual report on national assessment performance levels in all Steiner schools in NZ</w:t>
      </w:r>
    </w:p>
    <w:p w14:paraId="1D55F1BA" w14:textId="0A977DC4" w:rsidR="00F25E3B" w:rsidRDefault="00982A30" w:rsidP="00F25E3B">
      <w:pPr>
        <w:pStyle w:val="ListParagraph"/>
        <w:numPr>
          <w:ilvl w:val="0"/>
          <w:numId w:val="5"/>
        </w:numPr>
      </w:pPr>
      <w:r>
        <w:t>r</w:t>
      </w:r>
      <w:r w:rsidR="008730DD">
        <w:t>eview of current assessment records</w:t>
      </w:r>
    </w:p>
    <w:p w14:paraId="05272705" w14:textId="77777777" w:rsidR="008730DD" w:rsidRDefault="008730DD" w:rsidP="008730DD">
      <w:pPr>
        <w:pStyle w:val="ListParagraph"/>
      </w:pPr>
    </w:p>
    <w:p w14:paraId="4A109201" w14:textId="22CC86D8" w:rsidR="008730DD" w:rsidRPr="008333F3" w:rsidRDefault="008730DD" w:rsidP="008730DD">
      <w:pPr>
        <w:pStyle w:val="ListParagraph"/>
        <w:numPr>
          <w:ilvl w:val="0"/>
          <w:numId w:val="2"/>
        </w:numPr>
        <w:rPr>
          <w:b/>
        </w:rPr>
      </w:pPr>
      <w:r w:rsidRPr="008333F3">
        <w:rPr>
          <w:b/>
        </w:rPr>
        <w:t>School</w:t>
      </w:r>
      <w:r w:rsidR="004B5828">
        <w:rPr>
          <w:b/>
        </w:rPr>
        <w:t>wide</w:t>
      </w:r>
      <w:r w:rsidRPr="008333F3">
        <w:rPr>
          <w:b/>
        </w:rPr>
        <w:t xml:space="preserve"> </w:t>
      </w:r>
      <w:r w:rsidR="00982A30">
        <w:rPr>
          <w:b/>
        </w:rPr>
        <w:t xml:space="preserve">review </w:t>
      </w:r>
      <w:r w:rsidR="008E0A4F">
        <w:rPr>
          <w:b/>
        </w:rPr>
        <w:t xml:space="preserve">of </w:t>
      </w:r>
      <w:r w:rsidR="008E0A4F" w:rsidRPr="008333F3">
        <w:rPr>
          <w:b/>
        </w:rPr>
        <w:t>policies</w:t>
      </w:r>
      <w:r w:rsidR="00982A30">
        <w:rPr>
          <w:b/>
        </w:rPr>
        <w:t xml:space="preserve"> and procedures which reflect the</w:t>
      </w:r>
      <w:r w:rsidRPr="008333F3">
        <w:rPr>
          <w:b/>
        </w:rPr>
        <w:t xml:space="preserve"> teaching and learning</w:t>
      </w:r>
      <w:r w:rsidR="00982A30">
        <w:rPr>
          <w:b/>
        </w:rPr>
        <w:t xml:space="preserve"> environment and general school practice</w:t>
      </w:r>
      <w:r w:rsidR="00015CC5">
        <w:rPr>
          <w:b/>
        </w:rPr>
        <w:t xml:space="preserve"> including</w:t>
      </w:r>
      <w:r w:rsidR="00B13832">
        <w:rPr>
          <w:b/>
        </w:rPr>
        <w:t>:</w:t>
      </w:r>
    </w:p>
    <w:p w14:paraId="78BE0A20" w14:textId="26A2ADDD" w:rsidR="00B67738" w:rsidRDefault="00982A30" w:rsidP="00B67738">
      <w:pPr>
        <w:pStyle w:val="ListParagraph"/>
        <w:numPr>
          <w:ilvl w:val="0"/>
          <w:numId w:val="7"/>
        </w:numPr>
      </w:pPr>
      <w:r>
        <w:t>r</w:t>
      </w:r>
      <w:r w:rsidR="00B67738">
        <w:t>eview of Behaviour Management Policy and procedure and its implementation</w:t>
      </w:r>
    </w:p>
    <w:p w14:paraId="2D975EB1" w14:textId="4C9DB19D" w:rsidR="00B67738" w:rsidRDefault="00982A30" w:rsidP="00B67738">
      <w:pPr>
        <w:pStyle w:val="ListParagraph"/>
        <w:numPr>
          <w:ilvl w:val="0"/>
          <w:numId w:val="7"/>
        </w:numPr>
      </w:pPr>
      <w:r>
        <w:t>a</w:t>
      </w:r>
      <w:r w:rsidR="00B67738">
        <w:t>nalysis of attendance rates</w:t>
      </w:r>
    </w:p>
    <w:p w14:paraId="231889E3" w14:textId="7E171395" w:rsidR="00B67738" w:rsidRDefault="00982A30" w:rsidP="00B67738">
      <w:pPr>
        <w:pStyle w:val="ListParagraph"/>
        <w:numPr>
          <w:ilvl w:val="0"/>
          <w:numId w:val="7"/>
        </w:numPr>
      </w:pPr>
      <w:r>
        <w:t>a</w:t>
      </w:r>
      <w:r w:rsidR="00B67738">
        <w:t>nalysis of suspension and detention rates</w:t>
      </w:r>
    </w:p>
    <w:p w14:paraId="7F6E9E48" w14:textId="68E59C25" w:rsidR="00B67738" w:rsidRDefault="00982A30" w:rsidP="00B67738">
      <w:pPr>
        <w:pStyle w:val="ListParagraph"/>
        <w:numPr>
          <w:ilvl w:val="0"/>
          <w:numId w:val="7"/>
        </w:numPr>
      </w:pPr>
      <w:r>
        <w:t>r</w:t>
      </w:r>
      <w:r w:rsidR="00B67738">
        <w:t>eview of school assessment policy</w:t>
      </w:r>
    </w:p>
    <w:p w14:paraId="51BB21AC" w14:textId="7337464C" w:rsidR="00B67738" w:rsidRDefault="00982A30" w:rsidP="00B67738">
      <w:pPr>
        <w:pStyle w:val="ListParagraph"/>
        <w:numPr>
          <w:ilvl w:val="0"/>
          <w:numId w:val="7"/>
        </w:numPr>
      </w:pPr>
      <w:r>
        <w:t>h</w:t>
      </w:r>
      <w:r w:rsidR="00B67738">
        <w:t>ealth and Safety policy and procedures review</w:t>
      </w:r>
    </w:p>
    <w:p w14:paraId="1307A485" w14:textId="3729E9C2" w:rsidR="00B67738" w:rsidRDefault="00982A30" w:rsidP="00B67738">
      <w:pPr>
        <w:pStyle w:val="ListParagraph"/>
        <w:numPr>
          <w:ilvl w:val="0"/>
          <w:numId w:val="7"/>
        </w:numPr>
      </w:pPr>
      <w:r>
        <w:t>h</w:t>
      </w:r>
      <w:r w:rsidR="00B67738">
        <w:t>ealth and safety inspection of classrooms</w:t>
      </w:r>
      <w:r w:rsidR="00B13832">
        <w:t>,</w:t>
      </w:r>
      <w:r w:rsidR="00B67738">
        <w:t xml:space="preserve"> </w:t>
      </w:r>
      <w:r w:rsidR="00B13832">
        <w:t xml:space="preserve">playground </w:t>
      </w:r>
      <w:r w:rsidR="00B67738">
        <w:t>and other learning settings</w:t>
      </w:r>
    </w:p>
    <w:p w14:paraId="273F3E69" w14:textId="6A889CAE" w:rsidR="00B67738" w:rsidRDefault="00982A30" w:rsidP="00B67738">
      <w:pPr>
        <w:pStyle w:val="ListParagraph"/>
        <w:numPr>
          <w:ilvl w:val="0"/>
          <w:numId w:val="7"/>
        </w:numPr>
      </w:pPr>
      <w:r>
        <w:t>r</w:t>
      </w:r>
      <w:r w:rsidR="00B67738">
        <w:t>eview of class materials and resources</w:t>
      </w:r>
    </w:p>
    <w:p w14:paraId="744339AF" w14:textId="5471C601" w:rsidR="008333F3" w:rsidRDefault="00982A30" w:rsidP="002845FC">
      <w:pPr>
        <w:pStyle w:val="ListParagraph"/>
        <w:numPr>
          <w:ilvl w:val="0"/>
          <w:numId w:val="7"/>
        </w:numPr>
      </w:pPr>
      <w:r>
        <w:t>r</w:t>
      </w:r>
      <w:r w:rsidR="00B67738">
        <w:t>eview of annual and strategic plans</w:t>
      </w:r>
    </w:p>
    <w:p w14:paraId="227F4933" w14:textId="70EA57E8" w:rsidR="003A21BD" w:rsidRPr="003A21BD" w:rsidRDefault="003A21BD" w:rsidP="002845FC">
      <w:pPr>
        <w:pStyle w:val="ListParagraph"/>
        <w:numPr>
          <w:ilvl w:val="0"/>
          <w:numId w:val="7"/>
        </w:numPr>
        <w:rPr>
          <w:highlight w:val="yellow"/>
        </w:rPr>
      </w:pPr>
      <w:r w:rsidRPr="003A21BD">
        <w:rPr>
          <w:highlight w:val="yellow"/>
        </w:rPr>
        <w:t>Steiner Special Character attestation process and reporting to SEANZ</w:t>
      </w:r>
    </w:p>
    <w:p w14:paraId="4BC3F4B9" w14:textId="77777777" w:rsidR="008333F3" w:rsidRPr="008333F3" w:rsidRDefault="008333F3" w:rsidP="008333F3">
      <w:pPr>
        <w:pStyle w:val="ListParagraph"/>
        <w:ind w:left="1440"/>
        <w:rPr>
          <w:sz w:val="22"/>
          <w:szCs w:val="22"/>
        </w:rPr>
      </w:pPr>
    </w:p>
    <w:p w14:paraId="37903A6B" w14:textId="77777777" w:rsidR="008333F3" w:rsidRPr="008333F3" w:rsidRDefault="008333F3" w:rsidP="008333F3">
      <w:pPr>
        <w:ind w:left="720"/>
        <w:rPr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C1EC34" wp14:editId="1B8F3CB1">
                <wp:simplePos x="0" y="0"/>
                <wp:positionH relativeFrom="column">
                  <wp:posOffset>639445</wp:posOffset>
                </wp:positionH>
                <wp:positionV relativeFrom="paragraph">
                  <wp:posOffset>20955</wp:posOffset>
                </wp:positionV>
                <wp:extent cx="5638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260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.65pt" to="49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EPrQEAAEkDAAAOAAAAZHJzL2Uyb0RvYy54bWysU8Fu2zAMvQ/YPwi6L3ZarAiMOD2k6y7d&#10;FqDtBzCSbAuTRYFUYufvJ6lJNnS3YT4IpEg+PT7S6/t5dOJoiC36Vi4XtRTGK9TW9618fXn8tJKC&#10;I3gNDr1p5cmwvN98/LCeQmNucECnDYkE4rmZQiuHGENTVawGMwIvMBifgh3SCDG51FeaYEroo6tu&#10;6vqumpB0IFSGOd0+vAXlpuB3nVHxR9exicK1MnGL5aRy7vNZbdbQ9ARhsOpMA/6BxQjWp0evUA8Q&#10;QRzI/gU1WkXI2MWFwrHCrrPKlB5SN8v6XTfPAwRTeknicLjKxP8PVn0/bv2OMnU1++fwhOonC4/b&#10;AXxvCoGXU0iDW2apqilwcy3JDocdif30DXXKgUPEosLc0ZghU39iLmKfrmKbOQqVLj/f3a5WdZqJ&#10;usQqaC6FgTh+NTiKbLTSWZ91gAaOTxwzEWguKfna46N1rszSeTG18na1TNA5xOisztHiUL/fOhJH&#10;yOtQvtLWuzTCg9cFbTCgv5ztCNa92el1589qZAHytnGzR33a0UWlNK9C87xbeSH+9Ev17z9g8wsA&#10;AP//AwBQSwMEFAAGAAgAAAAhAH7yB+XWAAAABwEAAA8AAABkcnMvZG93bnJldi54bWxMjs1OwzAQ&#10;hO+VeAdrkbhRuwRBGuJUCIkbHCg8wDZe4oB/ItttA0/PwoUeP81o5ms3s3fiQCmPMWhYLRUICn00&#10;Yxg0vL0+XtYgcsFg0MVAGr4ow6Y7W7TYmHgML3TYlkHwSMgNarClTI2UubfkMS/jRIGz95g8FsY0&#10;SJPwyOPeySulbqTHMfCDxYkeLPWf273X8HS9Wj8raaeqNg7lx3efXcpaX5zP93cgCs3lvwy/+qwO&#10;HTvt4j6YLByzUrdc1VBVIDhf1zXz7o9l18pT/+4HAAD//wMAUEsBAi0AFAAGAAgAAAAhALaDOJL+&#10;AAAA4QEAABMAAAAAAAAAAAAAAAAAAAAAAFtDb250ZW50X1R5cGVzXS54bWxQSwECLQAUAAYACAAA&#10;ACEAOP0h/9YAAACUAQAACwAAAAAAAAAAAAAAAAAvAQAAX3JlbHMvLnJlbHNQSwECLQAUAAYACAAA&#10;ACEAG+sBD60BAABJAwAADgAAAAAAAAAAAAAAAAAuAgAAZHJzL2Uyb0RvYy54bWxQSwECLQAUAAYA&#10;CAAAACEAfvIH5dYAAAAHAQAADwAAAAAAAAAAAAAAAAAHBAAAZHJzL2Rvd25yZXYueG1sUEsFBgAA&#10;AAAEAAQA8wAAAAoFAAAAAA==&#10;" strokeweight="3pt"/>
            </w:pict>
          </mc:Fallback>
        </mc:AlternateContent>
      </w:r>
    </w:p>
    <w:p w14:paraId="331DF336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</w:rPr>
      </w:pPr>
    </w:p>
    <w:p w14:paraId="1F083E61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  <w:u w:val="single"/>
        </w:rPr>
      </w:pPr>
      <w:r w:rsidRPr="008333F3">
        <w:rPr>
          <w:sz w:val="22"/>
          <w:szCs w:val="22"/>
        </w:rPr>
        <w:t>Signed:</w:t>
      </w:r>
      <w:r w:rsidRPr="008333F3">
        <w:rPr>
          <w:sz w:val="22"/>
          <w:szCs w:val="22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  <w:u w:val="single"/>
        </w:rPr>
        <w:tab/>
      </w:r>
    </w:p>
    <w:p w14:paraId="1A4DC7F6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  <w:u w:val="single"/>
        </w:rPr>
      </w:pPr>
    </w:p>
    <w:p w14:paraId="34FCEF1A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</w:rPr>
      </w:pPr>
    </w:p>
    <w:p w14:paraId="666D7DE7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</w:rPr>
      </w:pPr>
      <w:r w:rsidRPr="008333F3">
        <w:rPr>
          <w:sz w:val="22"/>
          <w:szCs w:val="22"/>
        </w:rPr>
        <w:t>Print Name</w:t>
      </w:r>
      <w:r w:rsidRPr="008333F3">
        <w:rPr>
          <w:sz w:val="22"/>
          <w:szCs w:val="22"/>
        </w:rPr>
        <w:tab/>
        <w:t>______________________________________</w:t>
      </w:r>
    </w:p>
    <w:p w14:paraId="1183EF5F" w14:textId="77777777" w:rsidR="008333F3" w:rsidRPr="008333F3" w:rsidRDefault="008333F3" w:rsidP="008333F3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ind w:left="720"/>
        <w:rPr>
          <w:sz w:val="22"/>
          <w:szCs w:val="22"/>
        </w:rPr>
      </w:pPr>
      <w:r w:rsidRPr="008333F3">
        <w:rPr>
          <w:sz w:val="22"/>
          <w:szCs w:val="22"/>
        </w:rPr>
        <w:tab/>
      </w:r>
    </w:p>
    <w:p w14:paraId="6DAFE7DF" w14:textId="3CC936C3" w:rsidR="00360F2D" w:rsidRDefault="008333F3" w:rsidP="002C3FEB">
      <w:pPr>
        <w:tabs>
          <w:tab w:val="left" w:pos="1134"/>
          <w:tab w:val="left" w:pos="1843"/>
          <w:tab w:val="left" w:pos="2694"/>
          <w:tab w:val="left" w:pos="3402"/>
          <w:tab w:val="left" w:pos="3969"/>
          <w:tab w:val="left" w:pos="5670"/>
          <w:tab w:val="left" w:pos="6379"/>
          <w:tab w:val="left" w:pos="7230"/>
          <w:tab w:val="left" w:pos="7938"/>
        </w:tabs>
        <w:ind w:left="720"/>
      </w:pPr>
      <w:r w:rsidRPr="008333F3">
        <w:rPr>
          <w:sz w:val="22"/>
          <w:szCs w:val="22"/>
        </w:rPr>
        <w:t>Dated:</w:t>
      </w:r>
      <w:r w:rsidRPr="008333F3">
        <w:rPr>
          <w:sz w:val="22"/>
          <w:szCs w:val="22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</w:rPr>
        <w:t>/</w:t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</w:rPr>
        <w:t>/</w:t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</w:rPr>
        <w:tab/>
        <w:t>Review Date:</w:t>
      </w:r>
      <w:r w:rsidRPr="008333F3">
        <w:rPr>
          <w:sz w:val="22"/>
          <w:szCs w:val="22"/>
        </w:rPr>
        <w:tab/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</w:rPr>
        <w:t>/</w:t>
      </w:r>
      <w:r w:rsidRPr="008333F3">
        <w:rPr>
          <w:sz w:val="22"/>
          <w:szCs w:val="22"/>
          <w:u w:val="single"/>
        </w:rPr>
        <w:tab/>
      </w:r>
      <w:r w:rsidRPr="008333F3">
        <w:rPr>
          <w:sz w:val="22"/>
          <w:szCs w:val="22"/>
        </w:rPr>
        <w:t>/</w:t>
      </w:r>
      <w:r w:rsidRPr="008333F3">
        <w:rPr>
          <w:sz w:val="22"/>
          <w:szCs w:val="22"/>
          <w:u w:val="single"/>
        </w:rPr>
        <w:tab/>
      </w:r>
    </w:p>
    <w:p w14:paraId="105F46EF" w14:textId="77777777" w:rsidR="00D90D6C" w:rsidRDefault="008333F3" w:rsidP="008333F3">
      <w:pPr>
        <w:suppressAutoHyphens w:val="0"/>
        <w:spacing w:after="160" w:line="259" w:lineRule="auto"/>
        <w:sectPr w:rsidR="00D90D6C" w:rsidSect="008333F3">
          <w:head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lastRenderedPageBreak/>
        <w:t>Appendix 1 – our quality indicators</w:t>
      </w:r>
      <w:r w:rsidR="00360F2D" w:rsidRPr="00360F2D">
        <w:rPr>
          <w:noProof/>
          <w:lang w:val="en-NZ" w:eastAsia="en-NZ"/>
        </w:rPr>
        <w:drawing>
          <wp:inline distT="0" distB="0" distL="0" distR="0" wp14:anchorId="611815CF" wp14:editId="74099949">
            <wp:extent cx="6397840" cy="82867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27" cy="82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573C" w14:textId="77777777" w:rsidR="000D56F3" w:rsidRDefault="000D56F3" w:rsidP="000D56F3">
      <w:r>
        <w:lastRenderedPageBreak/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22"/>
        <w:gridCol w:w="2930"/>
        <w:gridCol w:w="2930"/>
        <w:gridCol w:w="2932"/>
      </w:tblGrid>
      <w:tr w:rsidR="000D56F3" w14:paraId="2DEBB2EC" w14:textId="77777777" w:rsidTr="002D5FED">
        <w:trPr>
          <w:trHeight w:val="819"/>
        </w:trPr>
        <w:tc>
          <w:tcPr>
            <w:tcW w:w="1838" w:type="dxa"/>
            <w:shd w:val="clear" w:color="auto" w:fill="595959" w:themeFill="text1" w:themeFillTint="A6"/>
          </w:tcPr>
          <w:p w14:paraId="14306334" w14:textId="77777777" w:rsidR="000D56F3" w:rsidRPr="005C732D" w:rsidRDefault="000D56F3" w:rsidP="002D5FED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Process</w:t>
            </w:r>
          </w:p>
        </w:tc>
        <w:tc>
          <w:tcPr>
            <w:tcW w:w="4022" w:type="dxa"/>
            <w:shd w:val="clear" w:color="auto" w:fill="595959" w:themeFill="text1" w:themeFillTint="A6"/>
          </w:tcPr>
          <w:p w14:paraId="1F5A8388" w14:textId="77777777" w:rsidR="000D56F3" w:rsidRPr="005C732D" w:rsidRDefault="001B521A" w:rsidP="002D5FE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Steps</w:t>
            </w:r>
          </w:p>
        </w:tc>
        <w:tc>
          <w:tcPr>
            <w:tcW w:w="2930" w:type="dxa"/>
            <w:shd w:val="clear" w:color="auto" w:fill="595959" w:themeFill="text1" w:themeFillTint="A6"/>
          </w:tcPr>
          <w:p w14:paraId="6E74B060" w14:textId="77777777" w:rsidR="000D56F3" w:rsidRPr="005C732D" w:rsidRDefault="000D56F3" w:rsidP="002D5FED">
            <w:pPr>
              <w:rPr>
                <w:b/>
                <w:color w:val="FFFFFF" w:themeColor="background1"/>
              </w:rPr>
            </w:pPr>
            <w:r w:rsidRPr="005C732D">
              <w:rPr>
                <w:b/>
                <w:color w:val="FFFFFF" w:themeColor="background1"/>
              </w:rPr>
              <w:t>Evaluation reasoning: questions we might ask</w:t>
            </w:r>
          </w:p>
        </w:tc>
        <w:tc>
          <w:tcPr>
            <w:tcW w:w="2930" w:type="dxa"/>
            <w:shd w:val="clear" w:color="auto" w:fill="595959" w:themeFill="text1" w:themeFillTint="A6"/>
          </w:tcPr>
          <w:p w14:paraId="0D9F4704" w14:textId="77777777" w:rsidR="000D56F3" w:rsidRPr="005C732D" w:rsidRDefault="000D56F3" w:rsidP="002D5FED">
            <w:pPr>
              <w:rPr>
                <w:b/>
                <w:color w:val="FFFFFF" w:themeColor="background1"/>
              </w:rPr>
            </w:pPr>
            <w:r w:rsidRPr="005C732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932" w:type="dxa"/>
            <w:shd w:val="clear" w:color="auto" w:fill="595959" w:themeFill="text1" w:themeFillTint="A6"/>
          </w:tcPr>
          <w:p w14:paraId="32742CE9" w14:textId="77777777" w:rsidR="000D56F3" w:rsidRPr="005C732D" w:rsidRDefault="000D56F3" w:rsidP="002D5FED">
            <w:pPr>
              <w:rPr>
                <w:b/>
                <w:color w:val="FFFFFF" w:themeColor="background1"/>
              </w:rPr>
            </w:pPr>
            <w:r w:rsidRPr="005C732D">
              <w:rPr>
                <w:b/>
                <w:color w:val="FFFFFF" w:themeColor="background1"/>
              </w:rPr>
              <w:t>Review</w:t>
            </w:r>
          </w:p>
        </w:tc>
      </w:tr>
      <w:tr w:rsidR="000D56F3" w14:paraId="19430377" w14:textId="77777777" w:rsidTr="002D5FED">
        <w:trPr>
          <w:trHeight w:val="661"/>
        </w:trPr>
        <w:tc>
          <w:tcPr>
            <w:tcW w:w="1838" w:type="dxa"/>
            <w:shd w:val="clear" w:color="auto" w:fill="538135" w:themeFill="accent6" w:themeFillShade="BF"/>
          </w:tcPr>
          <w:p w14:paraId="463BDE20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01C55C07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Noticing</w:t>
            </w:r>
          </w:p>
          <w:p w14:paraId="0B682953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4022" w:type="dxa"/>
          </w:tcPr>
          <w:p w14:paraId="36061226" w14:textId="77777777" w:rsidR="000D56F3" w:rsidRDefault="000D56F3" w:rsidP="002D5FED"/>
          <w:p w14:paraId="21F300BB" w14:textId="77777777" w:rsidR="000D56F3" w:rsidRDefault="000D56F3" w:rsidP="002D5FED"/>
        </w:tc>
        <w:tc>
          <w:tcPr>
            <w:tcW w:w="2930" w:type="dxa"/>
          </w:tcPr>
          <w:p w14:paraId="026FD4B0" w14:textId="77777777" w:rsidR="000D56F3" w:rsidRDefault="000D56F3" w:rsidP="002D5FED"/>
        </w:tc>
        <w:tc>
          <w:tcPr>
            <w:tcW w:w="2930" w:type="dxa"/>
          </w:tcPr>
          <w:p w14:paraId="173F13BF" w14:textId="77777777" w:rsidR="000D56F3" w:rsidRDefault="000D56F3" w:rsidP="002D5FED"/>
        </w:tc>
        <w:tc>
          <w:tcPr>
            <w:tcW w:w="2932" w:type="dxa"/>
          </w:tcPr>
          <w:p w14:paraId="69E53584" w14:textId="77777777" w:rsidR="000D56F3" w:rsidRDefault="000D56F3" w:rsidP="002D5FED"/>
        </w:tc>
      </w:tr>
      <w:tr w:rsidR="000D56F3" w14:paraId="2B4F7A05" w14:textId="77777777" w:rsidTr="002D5FED">
        <w:trPr>
          <w:trHeight w:val="624"/>
        </w:trPr>
        <w:tc>
          <w:tcPr>
            <w:tcW w:w="1838" w:type="dxa"/>
            <w:shd w:val="clear" w:color="auto" w:fill="990033"/>
          </w:tcPr>
          <w:p w14:paraId="3AE89F08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0929D598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Investigating</w:t>
            </w:r>
          </w:p>
          <w:p w14:paraId="24F3D9F9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39FDF050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4022" w:type="dxa"/>
          </w:tcPr>
          <w:p w14:paraId="5DF8F225" w14:textId="77777777" w:rsidR="000D56F3" w:rsidRDefault="000D56F3" w:rsidP="002D5FED"/>
          <w:p w14:paraId="326E616A" w14:textId="77777777" w:rsidR="000D56F3" w:rsidRDefault="000D56F3" w:rsidP="002D5FED"/>
          <w:p w14:paraId="4F9BEF88" w14:textId="77777777" w:rsidR="000D56F3" w:rsidRDefault="000D56F3" w:rsidP="002D5FED"/>
        </w:tc>
        <w:tc>
          <w:tcPr>
            <w:tcW w:w="2930" w:type="dxa"/>
          </w:tcPr>
          <w:p w14:paraId="2C410DF2" w14:textId="77777777" w:rsidR="000D56F3" w:rsidRDefault="000D56F3" w:rsidP="002D5FED"/>
        </w:tc>
        <w:tc>
          <w:tcPr>
            <w:tcW w:w="2930" w:type="dxa"/>
          </w:tcPr>
          <w:p w14:paraId="56C0D913" w14:textId="77777777" w:rsidR="000D56F3" w:rsidRDefault="000D56F3" w:rsidP="002D5FED"/>
        </w:tc>
        <w:tc>
          <w:tcPr>
            <w:tcW w:w="2932" w:type="dxa"/>
          </w:tcPr>
          <w:p w14:paraId="3F5497C7" w14:textId="77777777" w:rsidR="000D56F3" w:rsidRDefault="000D56F3" w:rsidP="002D5FED"/>
        </w:tc>
      </w:tr>
      <w:tr w:rsidR="000D56F3" w14:paraId="25728BA7" w14:textId="77777777" w:rsidTr="002D5FED">
        <w:trPr>
          <w:trHeight w:val="1322"/>
        </w:trPr>
        <w:tc>
          <w:tcPr>
            <w:tcW w:w="1838" w:type="dxa"/>
            <w:shd w:val="clear" w:color="auto" w:fill="4086B6"/>
          </w:tcPr>
          <w:p w14:paraId="2308EBA8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28455DB4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Collaborative sense making</w:t>
            </w:r>
          </w:p>
        </w:tc>
        <w:tc>
          <w:tcPr>
            <w:tcW w:w="4022" w:type="dxa"/>
          </w:tcPr>
          <w:p w14:paraId="08289BC9" w14:textId="77777777" w:rsidR="000D56F3" w:rsidRDefault="000D56F3" w:rsidP="002D5FED"/>
        </w:tc>
        <w:tc>
          <w:tcPr>
            <w:tcW w:w="2930" w:type="dxa"/>
          </w:tcPr>
          <w:p w14:paraId="18ED15E2" w14:textId="77777777" w:rsidR="000D56F3" w:rsidRDefault="000D56F3" w:rsidP="002D5FED"/>
        </w:tc>
        <w:tc>
          <w:tcPr>
            <w:tcW w:w="2930" w:type="dxa"/>
          </w:tcPr>
          <w:p w14:paraId="5A6D4ADA" w14:textId="77777777" w:rsidR="000D56F3" w:rsidRDefault="000D56F3" w:rsidP="002D5FED"/>
        </w:tc>
        <w:tc>
          <w:tcPr>
            <w:tcW w:w="2932" w:type="dxa"/>
          </w:tcPr>
          <w:p w14:paraId="2DDD7F8A" w14:textId="77777777" w:rsidR="000D56F3" w:rsidRDefault="000D56F3" w:rsidP="002D5FED"/>
        </w:tc>
      </w:tr>
      <w:tr w:rsidR="000D56F3" w14:paraId="1D02B10D" w14:textId="77777777" w:rsidTr="002D5FED">
        <w:trPr>
          <w:trHeight w:val="1285"/>
        </w:trPr>
        <w:tc>
          <w:tcPr>
            <w:tcW w:w="1838" w:type="dxa"/>
            <w:shd w:val="clear" w:color="auto" w:fill="C45911" w:themeFill="accent2" w:themeFillShade="BF"/>
          </w:tcPr>
          <w:p w14:paraId="36645A30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42E4B915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Prioritising to take action</w:t>
            </w:r>
          </w:p>
        </w:tc>
        <w:tc>
          <w:tcPr>
            <w:tcW w:w="4022" w:type="dxa"/>
          </w:tcPr>
          <w:p w14:paraId="5B9D25B5" w14:textId="77777777" w:rsidR="000D56F3" w:rsidRDefault="000D56F3" w:rsidP="002D5FED"/>
        </w:tc>
        <w:tc>
          <w:tcPr>
            <w:tcW w:w="2930" w:type="dxa"/>
          </w:tcPr>
          <w:p w14:paraId="36BC6ABE" w14:textId="77777777" w:rsidR="000D56F3" w:rsidRDefault="000D56F3" w:rsidP="002D5FED"/>
        </w:tc>
        <w:tc>
          <w:tcPr>
            <w:tcW w:w="2930" w:type="dxa"/>
          </w:tcPr>
          <w:p w14:paraId="7557DAA1" w14:textId="77777777" w:rsidR="000D56F3" w:rsidRDefault="000D56F3" w:rsidP="002D5FED"/>
        </w:tc>
        <w:tc>
          <w:tcPr>
            <w:tcW w:w="2932" w:type="dxa"/>
          </w:tcPr>
          <w:p w14:paraId="466B4A00" w14:textId="77777777" w:rsidR="000D56F3" w:rsidRDefault="000D56F3" w:rsidP="002D5FED"/>
        </w:tc>
      </w:tr>
      <w:tr w:rsidR="000D56F3" w14:paraId="34CFAA1E" w14:textId="77777777" w:rsidTr="002D5FED">
        <w:trPr>
          <w:trHeight w:val="1946"/>
        </w:trPr>
        <w:tc>
          <w:tcPr>
            <w:tcW w:w="1838" w:type="dxa"/>
            <w:shd w:val="clear" w:color="auto" w:fill="595959" w:themeFill="text1" w:themeFillTint="A6"/>
          </w:tcPr>
          <w:p w14:paraId="0B4F0B67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</w:p>
          <w:p w14:paraId="7275336D" w14:textId="77777777" w:rsidR="000D56F3" w:rsidRPr="005C732D" w:rsidRDefault="000D56F3" w:rsidP="002D5FED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5C732D">
              <w:rPr>
                <w:rFonts w:ascii="Calibri" w:hAnsi="Calibri" w:cs="Arial"/>
                <w:b/>
                <w:color w:val="FFFFFF" w:themeColor="background1"/>
              </w:rPr>
              <w:t>Monitoring and evaluating impact</w:t>
            </w:r>
          </w:p>
        </w:tc>
        <w:tc>
          <w:tcPr>
            <w:tcW w:w="4022" w:type="dxa"/>
          </w:tcPr>
          <w:p w14:paraId="1542C19B" w14:textId="77777777" w:rsidR="000D56F3" w:rsidRDefault="000D56F3" w:rsidP="002D5FED"/>
        </w:tc>
        <w:tc>
          <w:tcPr>
            <w:tcW w:w="2930" w:type="dxa"/>
          </w:tcPr>
          <w:p w14:paraId="3D0A0517" w14:textId="77777777" w:rsidR="000D56F3" w:rsidRDefault="000D56F3" w:rsidP="002D5FED"/>
        </w:tc>
        <w:tc>
          <w:tcPr>
            <w:tcW w:w="2930" w:type="dxa"/>
          </w:tcPr>
          <w:p w14:paraId="44721C85" w14:textId="77777777" w:rsidR="000D56F3" w:rsidRDefault="000D56F3" w:rsidP="002D5FED"/>
        </w:tc>
        <w:tc>
          <w:tcPr>
            <w:tcW w:w="2932" w:type="dxa"/>
          </w:tcPr>
          <w:p w14:paraId="68BCF9FF" w14:textId="77777777" w:rsidR="000D56F3" w:rsidRDefault="000D56F3" w:rsidP="002D5FED"/>
        </w:tc>
      </w:tr>
    </w:tbl>
    <w:p w14:paraId="1DBE0BC1" w14:textId="77777777" w:rsidR="000D56F3" w:rsidRDefault="000D56F3" w:rsidP="000D56F3"/>
    <w:p w14:paraId="1ED5B033" w14:textId="77777777" w:rsidR="00D90D6C" w:rsidRDefault="00D90D6C" w:rsidP="00D90D6C">
      <w:pPr>
        <w:suppressAutoHyphens w:val="0"/>
        <w:spacing w:after="160" w:line="259" w:lineRule="auto"/>
      </w:pPr>
    </w:p>
    <w:sectPr w:rsidR="00D90D6C" w:rsidSect="005C732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22E9" w14:textId="77777777" w:rsidR="00112AD8" w:rsidRDefault="00112AD8" w:rsidP="00E642FF">
      <w:r>
        <w:separator/>
      </w:r>
    </w:p>
  </w:endnote>
  <w:endnote w:type="continuationSeparator" w:id="0">
    <w:p w14:paraId="4A585E83" w14:textId="77777777" w:rsidR="00112AD8" w:rsidRDefault="00112AD8" w:rsidP="00E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9F46" w14:textId="77777777" w:rsidR="00112AD8" w:rsidRDefault="00112AD8" w:rsidP="00E642FF">
      <w:r>
        <w:separator/>
      </w:r>
    </w:p>
  </w:footnote>
  <w:footnote w:type="continuationSeparator" w:id="0">
    <w:p w14:paraId="1228331C" w14:textId="77777777" w:rsidR="00112AD8" w:rsidRDefault="00112AD8" w:rsidP="00E6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2B2" w14:textId="77777777" w:rsidR="00E642FF" w:rsidRDefault="00E642FF" w:rsidP="009D3EC1">
    <w:pPr>
      <w:pStyle w:val="Header"/>
      <w:ind w:righ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CD"/>
    <w:multiLevelType w:val="hybridMultilevel"/>
    <w:tmpl w:val="E0B4F0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B2C"/>
    <w:multiLevelType w:val="hybridMultilevel"/>
    <w:tmpl w:val="F4482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5F97"/>
    <w:multiLevelType w:val="hybridMultilevel"/>
    <w:tmpl w:val="F440E0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8015F"/>
    <w:multiLevelType w:val="hybridMultilevel"/>
    <w:tmpl w:val="69F69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00AD"/>
    <w:multiLevelType w:val="hybridMultilevel"/>
    <w:tmpl w:val="58B810B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9179E"/>
    <w:multiLevelType w:val="hybridMultilevel"/>
    <w:tmpl w:val="6794F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1518"/>
    <w:multiLevelType w:val="hybridMultilevel"/>
    <w:tmpl w:val="14B6126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96102">
    <w:abstractNumId w:val="1"/>
  </w:num>
  <w:num w:numId="2" w16cid:durableId="1688285746">
    <w:abstractNumId w:val="6"/>
  </w:num>
  <w:num w:numId="3" w16cid:durableId="1671643540">
    <w:abstractNumId w:val="2"/>
  </w:num>
  <w:num w:numId="4" w16cid:durableId="894655885">
    <w:abstractNumId w:val="3"/>
  </w:num>
  <w:num w:numId="5" w16cid:durableId="88434657">
    <w:abstractNumId w:val="5"/>
  </w:num>
  <w:num w:numId="6" w16cid:durableId="395203516">
    <w:abstractNumId w:val="0"/>
  </w:num>
  <w:num w:numId="7" w16cid:durableId="573009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11"/>
    <w:rsid w:val="0000190E"/>
    <w:rsid w:val="00002FA1"/>
    <w:rsid w:val="00015CC5"/>
    <w:rsid w:val="00083F09"/>
    <w:rsid w:val="000D56F3"/>
    <w:rsid w:val="00112AD8"/>
    <w:rsid w:val="00112E10"/>
    <w:rsid w:val="00126A1C"/>
    <w:rsid w:val="0013183E"/>
    <w:rsid w:val="001B521A"/>
    <w:rsid w:val="00224FBD"/>
    <w:rsid w:val="00251494"/>
    <w:rsid w:val="002C3FEB"/>
    <w:rsid w:val="002D030A"/>
    <w:rsid w:val="002D4C08"/>
    <w:rsid w:val="002E7D5D"/>
    <w:rsid w:val="00345D5F"/>
    <w:rsid w:val="003460F2"/>
    <w:rsid w:val="00360F2D"/>
    <w:rsid w:val="003A21BD"/>
    <w:rsid w:val="004061D4"/>
    <w:rsid w:val="0041653F"/>
    <w:rsid w:val="00434D6A"/>
    <w:rsid w:val="00487F2B"/>
    <w:rsid w:val="004B3D12"/>
    <w:rsid w:val="004B5828"/>
    <w:rsid w:val="00524501"/>
    <w:rsid w:val="00524DF9"/>
    <w:rsid w:val="005504A8"/>
    <w:rsid w:val="00596016"/>
    <w:rsid w:val="006203AA"/>
    <w:rsid w:val="00624BE2"/>
    <w:rsid w:val="0066030B"/>
    <w:rsid w:val="006710BD"/>
    <w:rsid w:val="00682B84"/>
    <w:rsid w:val="00686273"/>
    <w:rsid w:val="006F07D5"/>
    <w:rsid w:val="006F0C49"/>
    <w:rsid w:val="007107F0"/>
    <w:rsid w:val="00714C42"/>
    <w:rsid w:val="00747261"/>
    <w:rsid w:val="00747A8A"/>
    <w:rsid w:val="00751B5E"/>
    <w:rsid w:val="00763A26"/>
    <w:rsid w:val="007720F4"/>
    <w:rsid w:val="007C1EC9"/>
    <w:rsid w:val="007C543D"/>
    <w:rsid w:val="007E618E"/>
    <w:rsid w:val="008333F3"/>
    <w:rsid w:val="00847E59"/>
    <w:rsid w:val="008730DD"/>
    <w:rsid w:val="008D281D"/>
    <w:rsid w:val="008E0A4F"/>
    <w:rsid w:val="009558E7"/>
    <w:rsid w:val="00982A30"/>
    <w:rsid w:val="009C2FAF"/>
    <w:rsid w:val="009D3EC1"/>
    <w:rsid w:val="009D4812"/>
    <w:rsid w:val="00A75994"/>
    <w:rsid w:val="00A87F7D"/>
    <w:rsid w:val="00A901C4"/>
    <w:rsid w:val="00AC4269"/>
    <w:rsid w:val="00AD2713"/>
    <w:rsid w:val="00AD5C21"/>
    <w:rsid w:val="00B13832"/>
    <w:rsid w:val="00B5693E"/>
    <w:rsid w:val="00B67738"/>
    <w:rsid w:val="00BC5538"/>
    <w:rsid w:val="00C016F2"/>
    <w:rsid w:val="00C14FC8"/>
    <w:rsid w:val="00CB64BC"/>
    <w:rsid w:val="00CD0D35"/>
    <w:rsid w:val="00CE1B11"/>
    <w:rsid w:val="00D01E71"/>
    <w:rsid w:val="00D15B56"/>
    <w:rsid w:val="00D22DE2"/>
    <w:rsid w:val="00D76119"/>
    <w:rsid w:val="00D90D6C"/>
    <w:rsid w:val="00D920BF"/>
    <w:rsid w:val="00DC10AD"/>
    <w:rsid w:val="00DD0DAF"/>
    <w:rsid w:val="00E32C6A"/>
    <w:rsid w:val="00E53D41"/>
    <w:rsid w:val="00E642FF"/>
    <w:rsid w:val="00E7059C"/>
    <w:rsid w:val="00E82409"/>
    <w:rsid w:val="00E861C9"/>
    <w:rsid w:val="00F25E3B"/>
    <w:rsid w:val="00F41103"/>
    <w:rsid w:val="00F859CB"/>
    <w:rsid w:val="00F973A5"/>
    <w:rsid w:val="00F97F11"/>
    <w:rsid w:val="00FA2C44"/>
    <w:rsid w:val="00FB2062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E9ED1"/>
  <w15:chartTrackingRefBased/>
  <w15:docId w15:val="{0A1498CF-7B57-4AE1-AF49-4C5D06F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2FF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2FF"/>
  </w:style>
  <w:style w:type="paragraph" w:styleId="Footer">
    <w:name w:val="footer"/>
    <w:basedOn w:val="Normal"/>
    <w:link w:val="FooterChar"/>
    <w:uiPriority w:val="99"/>
    <w:unhideWhenUsed/>
    <w:rsid w:val="00E642FF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42FF"/>
  </w:style>
  <w:style w:type="paragraph" w:styleId="BalloonText">
    <w:name w:val="Balloon Text"/>
    <w:basedOn w:val="Normal"/>
    <w:link w:val="BalloonTextChar"/>
    <w:uiPriority w:val="99"/>
    <w:semiHidden/>
    <w:unhideWhenUsed/>
    <w:rsid w:val="00345D5F"/>
    <w:pPr>
      <w:suppressAutoHyphens w:val="0"/>
    </w:pPr>
    <w:rPr>
      <w:rFonts w:ascii="Segoe UI" w:eastAsiaTheme="minorHAnsi" w:hAnsi="Segoe UI" w:cs="Segoe UI"/>
      <w:sz w:val="18"/>
      <w:szCs w:val="18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1653F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F2B"/>
    <w:rPr>
      <w:color w:val="0563C1" w:themeColor="hyperlink"/>
      <w:u w:val="single"/>
    </w:rPr>
  </w:style>
  <w:style w:type="paragraph" w:customStyle="1" w:styleId="Default">
    <w:name w:val="Default"/>
    <w:rsid w:val="004B3D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E3B"/>
    <w:pPr>
      <w:ind w:left="720"/>
      <w:contextualSpacing/>
    </w:pPr>
  </w:style>
  <w:style w:type="table" w:styleId="TableGrid">
    <w:name w:val="Table Grid"/>
    <w:basedOn w:val="TableNormal"/>
    <w:uiPriority w:val="39"/>
    <w:rsid w:val="006F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71095-12CD-4778-AA5C-4F3F27B8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F6BCF-8365-4B50-91A1-C08631E7B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22765-4658-4A3D-8800-FAB3FA431480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4.xml><?xml version="1.0" encoding="utf-8"?>
<ds:datastoreItem xmlns:ds="http://schemas.openxmlformats.org/officeDocument/2006/customXml" ds:itemID="{51522E2E-0EFD-44C4-813B-2B57CA545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Clare Ridout</cp:lastModifiedBy>
  <cp:revision>38</cp:revision>
  <cp:lastPrinted>2020-11-26T00:16:00Z</cp:lastPrinted>
  <dcterms:created xsi:type="dcterms:W3CDTF">2022-08-02T22:54:00Z</dcterms:created>
  <dcterms:modified xsi:type="dcterms:W3CDTF">2022-12-15T04:00:00Z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